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Restoring Study 329: Efficacy and harms of paroxetine and imipramine in the treatment of adolescent major depression: restoration of a </w:t>
      </w:r>
      <w:proofErr w:type="spellStart"/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randomised</w:t>
      </w:r>
      <w:proofErr w:type="spellEnd"/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 controlled trial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Authors/reference/</w:t>
      </w:r>
      <w:proofErr w:type="spellStart"/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doi</w:t>
      </w:r>
      <w:proofErr w:type="spellEnd"/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  J Le </w:t>
      </w:r>
      <w:proofErr w:type="spellStart"/>
      <w:r w:rsidRPr="00C66422">
        <w:rPr>
          <w:rFonts w:asciiTheme="majorHAnsi" w:hAnsiTheme="majorHAnsi" w:cs="Arial"/>
          <w:sz w:val="20"/>
          <w:szCs w:val="20"/>
          <w:lang w:val="en-US"/>
        </w:rPr>
        <w:t>Noury</w:t>
      </w:r>
      <w:proofErr w:type="spellEnd"/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, J M Nardo, D Healy, J Jureidini, M Raven, C Tufanaru, E </w:t>
      </w:r>
      <w:proofErr w:type="spellStart"/>
      <w:r w:rsidRPr="00C66422">
        <w:rPr>
          <w:rFonts w:asciiTheme="majorHAnsi" w:hAnsiTheme="majorHAnsi" w:cs="Arial"/>
          <w:sz w:val="20"/>
          <w:szCs w:val="20"/>
          <w:lang w:val="en-US"/>
        </w:rPr>
        <w:t>Abi-Jaoude</w:t>
      </w:r>
      <w:proofErr w:type="spellEnd"/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Corresponding author e-mail: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hyperlink r:id="rId5" w:history="1">
        <w:r w:rsidRPr="00C66422">
          <w:rPr>
            <w:rFonts w:asciiTheme="majorHAnsi" w:hAnsiTheme="majorHAnsi" w:cs="Arial"/>
            <w:color w:val="0000E9"/>
            <w:sz w:val="20"/>
            <w:szCs w:val="20"/>
            <w:u w:val="single" w:color="0000E9"/>
            <w:lang w:val="en-US"/>
          </w:rPr>
          <w:t>Jon.Jureidini@adelaide.edu.au</w:t>
        </w:r>
      </w:hyperlink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Study question: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Does reanalysis of the data from GSK's Study 329 </w:t>
      </w:r>
      <w:r w:rsidR="00B2640B">
        <w:rPr>
          <w:rFonts w:asciiTheme="majorHAnsi" w:hAnsiTheme="majorHAnsi" w:cs="Arial"/>
          <w:sz w:val="20"/>
          <w:szCs w:val="20"/>
          <w:lang w:val="en-US"/>
        </w:rPr>
        <w:t>(</w:t>
      </w:r>
      <w:r w:rsidR="00AC4160" w:rsidRPr="0098173C">
        <w:rPr>
          <w:rFonts w:asciiTheme="majorHAnsi" w:hAnsiTheme="majorHAnsi" w:cs="Arial"/>
          <w:i/>
          <w:sz w:val="20"/>
          <w:szCs w:val="20"/>
          <w:lang w:val="en-US"/>
        </w:rPr>
        <w:t>A Multi-</w:t>
      </w:r>
      <w:proofErr w:type="spellStart"/>
      <w:r w:rsidR="00AC4160" w:rsidRPr="0098173C">
        <w:rPr>
          <w:rFonts w:asciiTheme="majorHAnsi" w:hAnsiTheme="majorHAnsi" w:cs="Arial"/>
          <w:i/>
          <w:sz w:val="20"/>
          <w:szCs w:val="20"/>
          <w:lang w:val="en-US"/>
        </w:rPr>
        <w:t>center</w:t>
      </w:r>
      <w:proofErr w:type="spellEnd"/>
      <w:r w:rsidR="00AC4160" w:rsidRPr="0098173C">
        <w:rPr>
          <w:rFonts w:asciiTheme="majorHAnsi" w:hAnsiTheme="majorHAnsi" w:cs="Arial"/>
          <w:i/>
          <w:sz w:val="20"/>
          <w:szCs w:val="20"/>
          <w:lang w:val="en-US"/>
        </w:rPr>
        <w:t>, Double-blind, Placebo Controlled Study of Paroxetine and Imipramine in Adolescents with Unipolar Major Depression</w:t>
      </w:r>
      <w:r w:rsidR="00B2640B">
        <w:rPr>
          <w:rFonts w:asciiTheme="majorHAnsi" w:hAnsiTheme="majorHAnsi" w:cs="Arial"/>
          <w:sz w:val="20"/>
          <w:szCs w:val="20"/>
          <w:lang w:val="en-US"/>
        </w:rPr>
        <w:t>)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have clinically relevant implications for </w:t>
      </w:r>
      <w:proofErr w:type="gramStart"/>
      <w:r w:rsidRPr="00C66422">
        <w:rPr>
          <w:rFonts w:asciiTheme="majorHAnsi" w:hAnsiTheme="majorHAnsi" w:cs="Arial"/>
          <w:sz w:val="20"/>
          <w:szCs w:val="20"/>
          <w:lang w:val="en-US"/>
        </w:rPr>
        <w:t>evidence based</w:t>
      </w:r>
      <w:proofErr w:type="gramEnd"/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medicine?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Summary answer:</w:t>
      </w:r>
      <w:r w:rsidR="002611CB">
        <w:rPr>
          <w:rFonts w:asciiTheme="majorHAnsi" w:hAnsiTheme="majorHAnsi" w:cs="Arial"/>
          <w:sz w:val="20"/>
          <w:szCs w:val="20"/>
          <w:lang w:val="en-US"/>
        </w:rPr>
        <w:t xml:space="preserve"> R</w:t>
      </w:r>
      <w:r w:rsidR="00B2640B" w:rsidRPr="00C66422">
        <w:rPr>
          <w:rFonts w:asciiTheme="majorHAnsi" w:hAnsiTheme="majorHAnsi" w:cs="Arial"/>
          <w:sz w:val="20"/>
          <w:szCs w:val="20"/>
          <w:lang w:val="en-US"/>
        </w:rPr>
        <w:t xml:space="preserve">eanalysis </w:t>
      </w:r>
      <w:r w:rsidRPr="00C66422">
        <w:rPr>
          <w:rFonts w:asciiTheme="majorHAnsi" w:hAnsiTheme="majorHAnsi" w:cs="Arial"/>
          <w:sz w:val="20"/>
          <w:szCs w:val="20"/>
          <w:lang w:val="en-US"/>
        </w:rPr>
        <w:t>of Study 329 sho</w:t>
      </w:r>
      <w:r w:rsidR="001D6D9C" w:rsidRPr="00C66422">
        <w:rPr>
          <w:rFonts w:asciiTheme="majorHAnsi" w:hAnsiTheme="majorHAnsi" w:cs="Arial"/>
          <w:sz w:val="20"/>
          <w:szCs w:val="20"/>
          <w:lang w:val="en-US"/>
        </w:rPr>
        <w:t>wed that</w:t>
      </w:r>
      <w:r w:rsidR="002611CB">
        <w:rPr>
          <w:rFonts w:asciiTheme="majorHAnsi" w:hAnsiTheme="majorHAnsi" w:cs="Arial"/>
          <w:sz w:val="20"/>
          <w:szCs w:val="20"/>
          <w:lang w:val="en-US"/>
        </w:rPr>
        <w:t>, c</w:t>
      </w:r>
      <w:r w:rsidR="002611CB" w:rsidRPr="00C66422">
        <w:rPr>
          <w:rFonts w:asciiTheme="majorHAnsi" w:hAnsiTheme="majorHAnsi" w:cs="Arial"/>
          <w:sz w:val="20"/>
          <w:szCs w:val="20"/>
          <w:lang w:val="en-US"/>
        </w:rPr>
        <w:t>ontrary to the original trial report</w:t>
      </w:r>
      <w:r w:rsidR="002611CB">
        <w:rPr>
          <w:rFonts w:asciiTheme="majorHAnsi" w:hAnsiTheme="majorHAnsi" w:cs="Arial"/>
          <w:sz w:val="20"/>
          <w:szCs w:val="20"/>
          <w:lang w:val="en-US"/>
        </w:rPr>
        <w:t>,</w:t>
      </w:r>
      <w:r w:rsidR="001D6D9C" w:rsidRPr="00C6642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2611CB" w:rsidRPr="00C66422">
        <w:rPr>
          <w:rFonts w:asciiTheme="majorHAnsi" w:hAnsiTheme="majorHAnsi" w:cs="Arial"/>
          <w:sz w:val="20"/>
          <w:szCs w:val="20"/>
          <w:lang w:val="en-US"/>
        </w:rPr>
        <w:t>efficacy</w:t>
      </w:r>
      <w:r w:rsidR="002611CB" w:rsidRPr="00C6642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2611CB">
        <w:rPr>
          <w:rFonts w:asciiTheme="majorHAnsi" w:hAnsiTheme="majorHAnsi" w:cs="Arial"/>
          <w:sz w:val="20"/>
          <w:szCs w:val="20"/>
          <w:lang w:val="en-US"/>
        </w:rPr>
        <w:t xml:space="preserve">was not </w:t>
      </w:r>
      <w:r w:rsidR="002611CB">
        <w:rPr>
          <w:rFonts w:asciiTheme="majorHAnsi" w:hAnsiTheme="majorHAnsi" w:cs="Arial"/>
          <w:sz w:val="20"/>
          <w:szCs w:val="20"/>
          <w:lang w:val="en-US"/>
        </w:rPr>
        <w:t>established</w:t>
      </w:r>
      <w:r w:rsidR="002611CB" w:rsidRPr="00C6642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2611CB">
        <w:rPr>
          <w:rFonts w:asciiTheme="majorHAnsi" w:hAnsiTheme="majorHAnsi" w:cs="Arial"/>
          <w:sz w:val="20"/>
          <w:szCs w:val="20"/>
          <w:lang w:val="en-US"/>
        </w:rPr>
        <w:t xml:space="preserve">for either paroxetine </w:t>
      </w:r>
      <w:r w:rsidR="001D6D9C" w:rsidRPr="00C66422">
        <w:rPr>
          <w:rFonts w:asciiTheme="majorHAnsi" w:hAnsiTheme="majorHAnsi" w:cs="Arial"/>
          <w:sz w:val="20"/>
          <w:szCs w:val="20"/>
          <w:lang w:val="en-US"/>
        </w:rPr>
        <w:t>or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imipramine</w:t>
      </w:r>
      <w:r w:rsidR="002611CB">
        <w:rPr>
          <w:rFonts w:asciiTheme="majorHAnsi" w:hAnsiTheme="majorHAnsi" w:cs="Arial"/>
          <w:sz w:val="20"/>
          <w:szCs w:val="20"/>
          <w:lang w:val="en-US"/>
        </w:rPr>
        <w:t>, while both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increase</w:t>
      </w:r>
      <w:r w:rsidR="002611CB">
        <w:rPr>
          <w:rFonts w:asciiTheme="majorHAnsi" w:hAnsiTheme="majorHAnsi" w:cs="Arial"/>
          <w:sz w:val="20"/>
          <w:szCs w:val="20"/>
          <w:lang w:val="en-US"/>
        </w:rPr>
        <w:t>d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harms</w:t>
      </w:r>
      <w:r w:rsidR="0098173C">
        <w:rPr>
          <w:rFonts w:asciiTheme="majorHAnsi" w:hAnsiTheme="majorHAnsi" w:cs="Arial"/>
          <w:sz w:val="20"/>
          <w:szCs w:val="20"/>
          <w:lang w:val="en-US"/>
        </w:rPr>
        <w:t>;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98173C">
        <w:rPr>
          <w:rFonts w:asciiTheme="majorHAnsi" w:hAnsiTheme="majorHAnsi" w:cs="Arial"/>
          <w:sz w:val="20"/>
          <w:szCs w:val="20"/>
          <w:lang w:val="en-US"/>
        </w:rPr>
        <w:t xml:space="preserve">and </w:t>
      </w:r>
      <w:r w:rsidR="002611CB">
        <w:rPr>
          <w:rFonts w:asciiTheme="majorHAnsi" w:hAnsiTheme="majorHAnsi" w:cs="Arial"/>
          <w:sz w:val="20"/>
          <w:szCs w:val="20"/>
          <w:lang w:val="en-US"/>
        </w:rPr>
        <w:t>it</w:t>
      </w:r>
      <w:r w:rsidR="0098173C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2611CB" w:rsidRPr="00C66422">
        <w:rPr>
          <w:rFonts w:asciiTheme="majorHAnsi" w:hAnsiTheme="majorHAnsi" w:cs="Arial"/>
          <w:sz w:val="20"/>
          <w:szCs w:val="20"/>
          <w:lang w:val="en-US"/>
        </w:rPr>
        <w:t>demonstrated</w:t>
      </w:r>
      <w:r w:rsidR="002611CB" w:rsidRPr="00C6642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2611CB" w:rsidRPr="00C66422">
        <w:rPr>
          <w:rFonts w:asciiTheme="majorHAnsi" w:hAnsiTheme="majorHAnsi" w:cs="Arial"/>
          <w:sz w:val="20"/>
          <w:szCs w:val="20"/>
          <w:lang w:val="en-US"/>
        </w:rPr>
        <w:t xml:space="preserve">that 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access to trial data </w:t>
      </w:r>
      <w:r w:rsidR="001D6D9C" w:rsidRPr="00C66422">
        <w:rPr>
          <w:rFonts w:asciiTheme="majorHAnsi" w:hAnsiTheme="majorHAnsi" w:cs="Arial"/>
          <w:sz w:val="20"/>
          <w:szCs w:val="20"/>
          <w:lang w:val="en-US"/>
        </w:rPr>
        <w:t>challenges the authority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of authorship.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What is known and what this paper adds: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In the absence of access to primary data, misleading conclusions in publications of trials can appear definitive. </w:t>
      </w:r>
      <w:r w:rsidR="00C74503" w:rsidRPr="00C66422">
        <w:rPr>
          <w:rFonts w:asciiTheme="majorHAnsi" w:hAnsiTheme="majorHAnsi" w:cs="Arial"/>
          <w:sz w:val="20"/>
          <w:szCs w:val="20"/>
          <w:lang w:val="en-US"/>
        </w:rPr>
        <w:t>Reanalysis of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primary data from Study 329 demonstrated that published conclusions about efficacy and safety should not be read as authoritative.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Design: </w:t>
      </w:r>
      <w:r w:rsidRPr="00C66422">
        <w:rPr>
          <w:rFonts w:asciiTheme="majorHAnsi" w:hAnsiTheme="majorHAnsi" w:cs="Arial"/>
          <w:bCs/>
          <w:sz w:val="20"/>
          <w:szCs w:val="20"/>
          <w:lang w:val="en-US"/>
        </w:rPr>
        <w:t>A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ccess was gained to the data from a double-blinded </w:t>
      </w:r>
      <w:proofErr w:type="spellStart"/>
      <w:r w:rsidRPr="00C66422">
        <w:rPr>
          <w:rFonts w:asciiTheme="majorHAnsi" w:hAnsiTheme="majorHAnsi" w:cs="Arial"/>
          <w:sz w:val="20"/>
          <w:szCs w:val="20"/>
          <w:lang w:val="en-US"/>
        </w:rPr>
        <w:t>randomised</w:t>
      </w:r>
      <w:proofErr w:type="spellEnd"/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controlled trial of paroxetine, imipramine, and placebo</w:t>
      </w:r>
      <w:r w:rsidR="006F7B9D">
        <w:rPr>
          <w:rFonts w:asciiTheme="majorHAnsi" w:hAnsiTheme="majorHAnsi" w:cs="Arial"/>
          <w:sz w:val="20"/>
          <w:szCs w:val="20"/>
          <w:lang w:val="en-US"/>
        </w:rPr>
        <w:t>,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under the Restoring Invisible and Abandoned Trials (RIAT) initiative. </w:t>
      </w:r>
      <w:r w:rsidR="007C2BE0">
        <w:rPr>
          <w:rFonts w:asciiTheme="majorHAnsi" w:hAnsiTheme="majorHAnsi" w:cs="Arial"/>
          <w:sz w:val="20"/>
          <w:szCs w:val="20"/>
          <w:lang w:val="en-US"/>
        </w:rPr>
        <w:t>Those</w:t>
      </w:r>
      <w:r w:rsidR="007C2BE0" w:rsidRPr="00C6642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data </w:t>
      </w:r>
      <w:r w:rsidR="007C2BE0">
        <w:rPr>
          <w:rFonts w:asciiTheme="majorHAnsi" w:hAnsiTheme="majorHAnsi" w:cs="Arial"/>
          <w:sz w:val="20"/>
          <w:szCs w:val="20"/>
          <w:lang w:val="en-US"/>
        </w:rPr>
        <w:t>were</w:t>
      </w:r>
      <w:r w:rsidR="007C2BE0" w:rsidRPr="00C6642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C66422">
        <w:rPr>
          <w:rFonts w:asciiTheme="majorHAnsi" w:hAnsiTheme="majorHAnsi" w:cs="Arial"/>
          <w:sz w:val="20"/>
          <w:szCs w:val="20"/>
          <w:lang w:val="en-US"/>
        </w:rPr>
        <w:t>reanalysed</w:t>
      </w:r>
      <w:proofErr w:type="spellEnd"/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according to the </w:t>
      </w:r>
      <w:r w:rsidRPr="00C66422">
        <w:rPr>
          <w:rFonts w:asciiTheme="majorHAnsi" w:hAnsiTheme="majorHAnsi" w:cs="Arial"/>
          <w:i/>
          <w:iCs/>
          <w:sz w:val="20"/>
          <w:szCs w:val="20"/>
          <w:lang w:val="en-US"/>
        </w:rPr>
        <w:t>a priori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Study 329 protocol.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Participants and setting: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275 adolescents with major depression of at least 8 weeks in duration, treated at 12 North American academic psychiatry </w:t>
      </w:r>
      <w:proofErr w:type="spellStart"/>
      <w:r w:rsidRPr="00C66422">
        <w:rPr>
          <w:rFonts w:asciiTheme="majorHAnsi" w:hAnsiTheme="majorHAnsi" w:cs="Arial"/>
          <w:sz w:val="20"/>
          <w:szCs w:val="20"/>
          <w:lang w:val="en-US"/>
        </w:rPr>
        <w:t>centres</w:t>
      </w:r>
      <w:proofErr w:type="spellEnd"/>
      <w:r w:rsidRPr="00C66422">
        <w:rPr>
          <w:rFonts w:asciiTheme="majorHAnsi" w:hAnsiTheme="majorHAnsi" w:cs="Arial"/>
          <w:sz w:val="20"/>
          <w:szCs w:val="20"/>
          <w:lang w:val="en-US"/>
        </w:rPr>
        <w:t>, in a study previously published in 2001.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Primary outcome(s):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Change from baseline to the end of the 8-week acute treatment phase in total Hamilton Depression Scale (HAM-D) score; and the proportion of responders (HAM-D score ≤8 or ≥50% reduction in baseline HAM-D) at acute endpoint (8 weeks).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1D6D9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Main results and the role of chance: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Access to data, compliance with the </w:t>
      </w:r>
      <w:r w:rsidRPr="002611CB">
        <w:rPr>
          <w:rFonts w:asciiTheme="majorHAnsi" w:hAnsiTheme="majorHAnsi" w:cs="Arial"/>
          <w:i/>
          <w:sz w:val="20"/>
          <w:szCs w:val="20"/>
          <w:lang w:val="en-US"/>
        </w:rPr>
        <w:t>a priori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protocol, and transparent reporting of outcomes led to </w:t>
      </w:r>
      <w:r w:rsidR="001D6D9C" w:rsidRPr="00C66422">
        <w:rPr>
          <w:rFonts w:asciiTheme="majorHAnsi" w:hAnsiTheme="majorHAnsi" w:cs="Arial"/>
          <w:sz w:val="20"/>
          <w:szCs w:val="20"/>
          <w:lang w:val="en-US"/>
        </w:rPr>
        <w:t>conclusions</w:t>
      </w:r>
      <w:r w:rsidR="00B2640B" w:rsidRPr="00B2640B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B2640B" w:rsidRPr="00C66422">
        <w:rPr>
          <w:rFonts w:asciiTheme="majorHAnsi" w:hAnsiTheme="majorHAnsi" w:cs="Arial"/>
          <w:sz w:val="20"/>
          <w:szCs w:val="20"/>
          <w:lang w:val="en-US"/>
        </w:rPr>
        <w:t>about the efficacy and safety of paroxetine for adolescents</w:t>
      </w:r>
      <w:r w:rsidR="00B2640B">
        <w:rPr>
          <w:rFonts w:asciiTheme="majorHAnsi" w:hAnsiTheme="majorHAnsi" w:cs="Arial"/>
          <w:sz w:val="20"/>
          <w:szCs w:val="20"/>
          <w:lang w:val="en-US"/>
        </w:rPr>
        <w:t xml:space="preserve"> that differed from </w:t>
      </w:r>
      <w:r w:rsidR="00CC564E" w:rsidRPr="00C66422">
        <w:rPr>
          <w:rFonts w:asciiTheme="majorHAnsi" w:hAnsiTheme="majorHAnsi" w:cs="Arial"/>
          <w:sz w:val="20"/>
          <w:szCs w:val="20"/>
          <w:lang w:val="en-US"/>
        </w:rPr>
        <w:t>the original trial report</w:t>
      </w:r>
      <w:r w:rsidR="001D6D9C" w:rsidRPr="00C66422">
        <w:rPr>
          <w:rFonts w:asciiTheme="majorHAnsi" w:hAnsiTheme="majorHAnsi" w:cs="Arial"/>
          <w:sz w:val="20"/>
          <w:szCs w:val="20"/>
          <w:lang w:val="en-US"/>
        </w:rPr>
        <w:t>.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sz w:val="20"/>
          <w:szCs w:val="20"/>
          <w:lang w:val="en-US"/>
        </w:rPr>
        <w:t>The efficacy of paroxetine and imipramine was neither statistically nor clinically significantly different from placebo for any pre-specified efficacy outcome. HAM-D scores decrea</w:t>
      </w:r>
      <w:bookmarkStart w:id="0" w:name="_GoBack"/>
      <w:bookmarkEnd w:id="0"/>
      <w:r w:rsidRPr="00C66422">
        <w:rPr>
          <w:rFonts w:asciiTheme="majorHAnsi" w:hAnsiTheme="majorHAnsi" w:cs="Arial"/>
          <w:sz w:val="20"/>
          <w:szCs w:val="20"/>
          <w:lang w:val="en-US"/>
        </w:rPr>
        <w:t>sed by 10.73 [9.134 to 12.328], 8.95 [7.356, to 10.541] and 9.08 [7.450 to 10.708] points, LS MEAN [95% Confidence Interval], respectively, for the paroxetine, imipramine and placebo groups (p = 0.204).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Harms: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Clinically significant increases in harms, including suicidal ideation and </w:t>
      </w:r>
      <w:proofErr w:type="spellStart"/>
      <w:r w:rsidRPr="00C66422">
        <w:rPr>
          <w:rFonts w:asciiTheme="majorHAnsi" w:hAnsiTheme="majorHAnsi" w:cs="Arial"/>
          <w:sz w:val="20"/>
          <w:szCs w:val="20"/>
          <w:lang w:val="en-US"/>
        </w:rPr>
        <w:t>behaviour</w:t>
      </w:r>
      <w:proofErr w:type="spellEnd"/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and other serious adverse events, were observed in the paroxetine group</w:t>
      </w:r>
      <w:r w:rsidR="00B2640B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B2640B" w:rsidRPr="00C66422">
        <w:rPr>
          <w:rFonts w:asciiTheme="majorHAnsi" w:hAnsiTheme="majorHAnsi" w:cs="Arial"/>
          <w:sz w:val="20"/>
          <w:szCs w:val="20"/>
          <w:lang w:val="en-US"/>
        </w:rPr>
        <w:t>(see table)</w:t>
      </w:r>
      <w:r w:rsidRPr="00C66422">
        <w:rPr>
          <w:rFonts w:asciiTheme="majorHAnsi" w:hAnsiTheme="majorHAnsi" w:cs="Arial"/>
          <w:sz w:val="20"/>
          <w:szCs w:val="20"/>
          <w:lang w:val="en-US"/>
        </w:rPr>
        <w:t>, and cardiovascular problems in the imipramine group. Increased harms in the taper phase were consistent with withdrawal effects from ceasing antidepressants.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sz w:val="20"/>
          <w:szCs w:val="20"/>
          <w:lang w:val="en-US"/>
        </w:rPr>
        <w:t>Table: Summary of harms outcomes</w:t>
      </w:r>
      <w:r w:rsidR="00B2640B">
        <w:rPr>
          <w:rFonts w:asciiTheme="majorHAnsi" w:hAnsiTheme="majorHAnsi" w:cs="Arial"/>
          <w:sz w:val="20"/>
          <w:szCs w:val="20"/>
          <w:lang w:val="en-US"/>
        </w:rPr>
        <w:t xml:space="preserve"> for paroxetine and placebo groups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in Study 329</w:t>
      </w: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2268"/>
      </w:tblGrid>
      <w:tr w:rsidR="00B2640B" w:rsidRPr="00C66422" w:rsidTr="00B2640B">
        <w:tc>
          <w:tcPr>
            <w:tcW w:w="3085" w:type="dxa"/>
          </w:tcPr>
          <w:p w:rsidR="00B2640B" w:rsidRPr="00C66422" w:rsidRDefault="00B2640B" w:rsidP="00CC35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Paroxetine N=93</w:t>
            </w:r>
          </w:p>
        </w:tc>
        <w:tc>
          <w:tcPr>
            <w:tcW w:w="1276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Placebo N=87</w:t>
            </w:r>
          </w:p>
        </w:tc>
        <w:tc>
          <w:tcPr>
            <w:tcW w:w="2268" w:type="dxa"/>
          </w:tcPr>
          <w:p w:rsidR="00B2640B" w:rsidRPr="00C66422" w:rsidRDefault="00B2640B" w:rsidP="00C664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 xml:space="preserve">AE per patient </w:t>
            </w:r>
            <w:proofErr w:type="spellStart"/>
            <w:r w:rsidRPr="00C66422">
              <w:rPr>
                <w:rFonts w:asciiTheme="majorHAnsi" w:hAnsiTheme="majorHAnsi"/>
                <w:sz w:val="20"/>
                <w:szCs w:val="20"/>
              </w:rPr>
              <w:t>Paroxetine:placebo</w:t>
            </w:r>
            <w:proofErr w:type="spellEnd"/>
            <w:r w:rsidRPr="00C6642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2640B" w:rsidRPr="00C66422" w:rsidTr="00B2640B">
        <w:tc>
          <w:tcPr>
            <w:tcW w:w="3085" w:type="dxa"/>
          </w:tcPr>
          <w:p w:rsidR="00B2640B" w:rsidRPr="00C66422" w:rsidRDefault="00B2640B" w:rsidP="00CC35CC">
            <w:pPr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Total AEs</w:t>
            </w:r>
          </w:p>
        </w:tc>
        <w:tc>
          <w:tcPr>
            <w:tcW w:w="1276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479</w:t>
            </w:r>
          </w:p>
        </w:tc>
        <w:tc>
          <w:tcPr>
            <w:tcW w:w="1276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330</w:t>
            </w:r>
          </w:p>
        </w:tc>
        <w:tc>
          <w:tcPr>
            <w:tcW w:w="2268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>1.4</w:t>
            </w:r>
          </w:p>
        </w:tc>
      </w:tr>
      <w:tr w:rsidR="00B2640B" w:rsidRPr="00C66422" w:rsidTr="00B2640B">
        <w:tc>
          <w:tcPr>
            <w:tcW w:w="3085" w:type="dxa"/>
          </w:tcPr>
          <w:p w:rsidR="00B2640B" w:rsidRPr="00C66422" w:rsidRDefault="00B2640B" w:rsidP="00CC35CC">
            <w:pPr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Severe AEs </w:t>
            </w:r>
          </w:p>
        </w:tc>
        <w:tc>
          <w:tcPr>
            <w:tcW w:w="1276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70 (15%)</w:t>
            </w:r>
          </w:p>
        </w:tc>
        <w:tc>
          <w:tcPr>
            <w:tcW w:w="1276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25 (8%)</w:t>
            </w:r>
          </w:p>
        </w:tc>
        <w:tc>
          <w:tcPr>
            <w:tcW w:w="2268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>2.6</w:t>
            </w:r>
          </w:p>
        </w:tc>
      </w:tr>
      <w:tr w:rsidR="00B2640B" w:rsidRPr="00C66422" w:rsidTr="00B2640B">
        <w:tc>
          <w:tcPr>
            <w:tcW w:w="3085" w:type="dxa"/>
          </w:tcPr>
          <w:p w:rsidR="00B2640B" w:rsidRPr="00C66422" w:rsidRDefault="00B2640B" w:rsidP="00CC35CC">
            <w:pPr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>AEs in taper phase</w:t>
            </w:r>
          </w:p>
        </w:tc>
        <w:tc>
          <w:tcPr>
            <w:tcW w:w="1276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1276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268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>4.4</w:t>
            </w:r>
          </w:p>
        </w:tc>
      </w:tr>
      <w:tr w:rsidR="00B2640B" w:rsidRPr="00C66422" w:rsidTr="00B2640B">
        <w:tc>
          <w:tcPr>
            <w:tcW w:w="3085" w:type="dxa"/>
          </w:tcPr>
          <w:p w:rsidR="00B2640B" w:rsidRPr="00C66422" w:rsidRDefault="00B2640B" w:rsidP="00CC35CC">
            <w:pPr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 xml:space="preserve">Severe AEs in taper </w:t>
            </w:r>
          </w:p>
        </w:tc>
        <w:tc>
          <w:tcPr>
            <w:tcW w:w="1276" w:type="dxa"/>
          </w:tcPr>
          <w:p w:rsidR="00B2640B" w:rsidRPr="00C66422" w:rsidRDefault="00B2640B" w:rsidP="004F7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12 (26%)</w:t>
            </w:r>
          </w:p>
        </w:tc>
        <w:tc>
          <w:tcPr>
            <w:tcW w:w="1276" w:type="dxa"/>
          </w:tcPr>
          <w:p w:rsidR="00B2640B" w:rsidRPr="00C66422" w:rsidRDefault="00B2640B" w:rsidP="004F75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1 (10%)</w:t>
            </w:r>
          </w:p>
        </w:tc>
        <w:tc>
          <w:tcPr>
            <w:tcW w:w="2268" w:type="dxa"/>
          </w:tcPr>
          <w:p w:rsidR="00B2640B" w:rsidRPr="00C66422" w:rsidRDefault="00B2640B" w:rsidP="00B264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</w:tr>
      <w:tr w:rsidR="00B2640B" w:rsidRPr="00C66422" w:rsidTr="00B2640B">
        <w:tc>
          <w:tcPr>
            <w:tcW w:w="3085" w:type="dxa"/>
          </w:tcPr>
          <w:p w:rsidR="00B2640B" w:rsidRPr="00C66422" w:rsidRDefault="00B2640B" w:rsidP="00AC4160">
            <w:pPr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>Psychiatric AEs</w:t>
            </w:r>
          </w:p>
        </w:tc>
        <w:tc>
          <w:tcPr>
            <w:tcW w:w="1276" w:type="dxa"/>
          </w:tcPr>
          <w:p w:rsidR="00B2640B" w:rsidRPr="00C66422" w:rsidRDefault="00B2640B" w:rsidP="00AC41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1276" w:type="dxa"/>
          </w:tcPr>
          <w:p w:rsidR="00B2640B" w:rsidRPr="00C66422" w:rsidRDefault="00B2640B" w:rsidP="00AC41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268" w:type="dxa"/>
          </w:tcPr>
          <w:p w:rsidR="00B2640B" w:rsidRPr="00C66422" w:rsidRDefault="00B2640B" w:rsidP="00AC41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>3.0</w:t>
            </w:r>
          </w:p>
        </w:tc>
      </w:tr>
      <w:tr w:rsidR="00B2640B" w:rsidRPr="00C66422" w:rsidTr="00B2640B">
        <w:tc>
          <w:tcPr>
            <w:tcW w:w="3085" w:type="dxa"/>
          </w:tcPr>
          <w:p w:rsidR="00B2640B" w:rsidRPr="00C66422" w:rsidRDefault="00B2640B" w:rsidP="00CC35CC">
            <w:pPr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>Suicidal ideation/gesture /attempt</w:t>
            </w:r>
          </w:p>
        </w:tc>
        <w:tc>
          <w:tcPr>
            <w:tcW w:w="1276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2640B" w:rsidRPr="00C66422" w:rsidRDefault="00B2640B" w:rsidP="00CC3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6422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</w:tr>
    </w:tbl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Bias, confounding and other reasons for caution: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98173C">
        <w:rPr>
          <w:rFonts w:asciiTheme="majorHAnsi" w:hAnsiTheme="majorHAnsi" w:cs="Arial"/>
          <w:sz w:val="20"/>
          <w:szCs w:val="20"/>
          <w:lang w:val="en-US"/>
        </w:rPr>
        <w:t>So far as we know, t</w:t>
      </w:r>
      <w:r w:rsidR="001D6D9C" w:rsidRPr="00C66422">
        <w:rPr>
          <w:rFonts w:asciiTheme="majorHAnsi" w:hAnsiTheme="majorHAnsi" w:cs="Arial"/>
          <w:sz w:val="20"/>
          <w:szCs w:val="20"/>
          <w:lang w:val="en-US"/>
        </w:rPr>
        <w:t xml:space="preserve">his </w:t>
      </w:r>
      <w:r w:rsidR="0098173C">
        <w:rPr>
          <w:rFonts w:asciiTheme="majorHAnsi" w:hAnsiTheme="majorHAnsi" w:cs="Arial"/>
          <w:sz w:val="20"/>
          <w:szCs w:val="20"/>
          <w:lang w:val="en-US"/>
        </w:rPr>
        <w:t>kind of reanalysis</w:t>
      </w:r>
      <w:r w:rsidR="001D6D9C" w:rsidRPr="00C66422">
        <w:rPr>
          <w:rFonts w:asciiTheme="majorHAnsi" w:hAnsiTheme="majorHAnsi" w:cs="Arial"/>
          <w:sz w:val="20"/>
          <w:szCs w:val="20"/>
          <w:lang w:val="en-US"/>
        </w:rPr>
        <w:t xml:space="preserve"> has never </w:t>
      </w:r>
      <w:r w:rsidR="001D6D9C" w:rsidRPr="00C66422">
        <w:rPr>
          <w:rFonts w:asciiTheme="majorHAnsi" w:hAnsiTheme="majorHAnsi" w:cs="Arial"/>
          <w:sz w:val="20"/>
          <w:szCs w:val="20"/>
          <w:lang w:val="en-US"/>
        </w:rPr>
        <w:lastRenderedPageBreak/>
        <w:t xml:space="preserve">been attempted before. </w:t>
      </w:r>
      <w:r w:rsidRPr="00C66422">
        <w:rPr>
          <w:rFonts w:asciiTheme="majorHAnsi" w:hAnsiTheme="majorHAnsi" w:cs="Arial"/>
          <w:sz w:val="20"/>
          <w:szCs w:val="20"/>
          <w:lang w:val="en-US"/>
        </w:rPr>
        <w:t>Access to case reports was difficult, and coding of adverse events required judgement. Several members of the RIAT team had previously challenged the original trial report.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Generalisability to other populations: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This study left an uncertain message re generalisability of efficacy findings, a clearer message regarding harms, and a very clear message about access to data.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Study funding/potential competing interests: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No funding received. DH has been an expert witness for plaintiffs in legal cases involving paroxetine and other antidepressants. JJ has been paid by Baum, </w:t>
      </w:r>
      <w:proofErr w:type="spellStart"/>
      <w:r w:rsidRPr="00C66422">
        <w:rPr>
          <w:rFonts w:asciiTheme="majorHAnsi" w:hAnsiTheme="majorHAnsi" w:cs="Arial"/>
          <w:sz w:val="20"/>
          <w:szCs w:val="20"/>
          <w:lang w:val="en-US"/>
        </w:rPr>
        <w:t>Hedlund</w:t>
      </w:r>
      <w:proofErr w:type="spellEnd"/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Pr="00C66422">
        <w:rPr>
          <w:rFonts w:asciiTheme="majorHAnsi" w:hAnsiTheme="majorHAnsi" w:cs="Arial"/>
          <w:sz w:val="20"/>
          <w:szCs w:val="20"/>
          <w:lang w:val="en-US"/>
        </w:rPr>
        <w:t>Aristei</w:t>
      </w:r>
      <w:proofErr w:type="spellEnd"/>
      <w:proofErr w:type="gramEnd"/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&amp; Goldman to provide expert analysis and opinion related to GSK's Study 329 and Forest's </w:t>
      </w:r>
      <w:proofErr w:type="spellStart"/>
      <w:r w:rsidRPr="00C66422">
        <w:rPr>
          <w:rFonts w:asciiTheme="majorHAnsi" w:hAnsiTheme="majorHAnsi" w:cs="Arial"/>
          <w:sz w:val="20"/>
          <w:szCs w:val="20"/>
          <w:lang w:val="en-US"/>
        </w:rPr>
        <w:t>paediatric</w:t>
      </w:r>
      <w:proofErr w:type="spellEnd"/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citalopram RCTs.</w:t>
      </w:r>
    </w:p>
    <w:p w:rsidR="00CC35CC" w:rsidRPr="00C66422" w:rsidRDefault="00CC35CC" w:rsidP="00CC35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  <w:lang w:val="en-US"/>
        </w:rPr>
      </w:pPr>
    </w:p>
    <w:p w:rsidR="003761A0" w:rsidRPr="001D6D9C" w:rsidRDefault="00CC35CC" w:rsidP="00CC35CC">
      <w:pPr>
        <w:rPr>
          <w:rFonts w:asciiTheme="majorHAnsi" w:hAnsiTheme="majorHAnsi"/>
          <w:sz w:val="20"/>
          <w:szCs w:val="20"/>
        </w:rPr>
      </w:pPr>
      <w:r w:rsidRPr="00C66422">
        <w:rPr>
          <w:rFonts w:asciiTheme="majorHAnsi" w:hAnsiTheme="majorHAnsi" w:cs="Arial"/>
          <w:b/>
          <w:bCs/>
          <w:sz w:val="20"/>
          <w:szCs w:val="20"/>
          <w:lang w:val="en-US"/>
        </w:rPr>
        <w:t>Trial registration number:</w:t>
      </w:r>
      <w:r w:rsidRPr="00C66422">
        <w:rPr>
          <w:rFonts w:asciiTheme="majorHAnsi" w:hAnsiTheme="majorHAnsi" w:cs="Arial"/>
          <w:sz w:val="20"/>
          <w:szCs w:val="20"/>
          <w:lang w:val="en-US"/>
        </w:rPr>
        <w:t xml:space="preserve"> SmithKline Beecham study 29060/329</w:t>
      </w:r>
    </w:p>
    <w:sectPr w:rsidR="003761A0" w:rsidRPr="001D6D9C" w:rsidSect="003761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4003D9D-B6EB-417A-8A47-FBEC7F473A93}"/>
    <w:docVar w:name="dgnword-eventsink" w:val="375962560"/>
  </w:docVars>
  <w:rsids>
    <w:rsidRoot w:val="00CC35CC"/>
    <w:rsid w:val="00097B4E"/>
    <w:rsid w:val="000C5370"/>
    <w:rsid w:val="001A149C"/>
    <w:rsid w:val="001D6D9C"/>
    <w:rsid w:val="002611CB"/>
    <w:rsid w:val="003761A0"/>
    <w:rsid w:val="004F751C"/>
    <w:rsid w:val="0062744D"/>
    <w:rsid w:val="00694DB9"/>
    <w:rsid w:val="006B7ED3"/>
    <w:rsid w:val="006F7B9D"/>
    <w:rsid w:val="00791F3B"/>
    <w:rsid w:val="007C2BE0"/>
    <w:rsid w:val="0098173C"/>
    <w:rsid w:val="00A9251F"/>
    <w:rsid w:val="00AC4160"/>
    <w:rsid w:val="00B2640B"/>
    <w:rsid w:val="00B278B5"/>
    <w:rsid w:val="00BB41EC"/>
    <w:rsid w:val="00C66422"/>
    <w:rsid w:val="00C74503"/>
    <w:rsid w:val="00CC35CC"/>
    <w:rsid w:val="00CC564E"/>
    <w:rsid w:val="00E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4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0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03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03"/>
    <w:rPr>
      <w:rFonts w:ascii="Tahoma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BB41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41EC"/>
    <w:rPr>
      <w:lang w:val="en-AU"/>
    </w:rPr>
  </w:style>
  <w:style w:type="character" w:styleId="Hyperlink">
    <w:name w:val="Hyperlink"/>
    <w:basedOn w:val="DefaultParagraphFont"/>
    <w:uiPriority w:val="99"/>
    <w:unhideWhenUsed/>
    <w:rsid w:val="007C2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4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0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03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03"/>
    <w:rPr>
      <w:rFonts w:ascii="Tahoma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BB41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41EC"/>
    <w:rPr>
      <w:lang w:val="en-AU"/>
    </w:rPr>
  </w:style>
  <w:style w:type="character" w:styleId="Hyperlink">
    <w:name w:val="Hyperlink"/>
    <w:basedOn w:val="DefaultParagraphFont"/>
    <w:uiPriority w:val="99"/>
    <w:unhideWhenUsed/>
    <w:rsid w:val="007C2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tatemail.sa.gov.au/OWA/redir.aspx?C=oevII1nMfUKv3ndUCBMj1ytHWP6jQ9JIjrFeiEUvDDXKuUpEi5h18cSJUAIMrHwZwNB8TMWIHo0.&amp;URL=mailto%3aJon.Jureidini%40adelaide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3650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Jureidini</dc:creator>
  <cp:lastModifiedBy>Jon Jureidini</cp:lastModifiedBy>
  <cp:revision>2</cp:revision>
  <cp:lastPrinted>2015-04-07T09:13:00Z</cp:lastPrinted>
  <dcterms:created xsi:type="dcterms:W3CDTF">2015-04-08T00:25:00Z</dcterms:created>
  <dcterms:modified xsi:type="dcterms:W3CDTF">2015-04-08T00:25:00Z</dcterms:modified>
</cp:coreProperties>
</file>